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24A05" w14:textId="7513C577" w:rsidR="00617E87" w:rsidRPr="00617E87" w:rsidRDefault="00617E87" w:rsidP="00617E87">
      <w:pPr>
        <w:pStyle w:val="Default"/>
        <w:rPr>
          <w:i/>
          <w:iCs/>
          <w:sz w:val="23"/>
          <w:szCs w:val="23"/>
        </w:rPr>
      </w:pPr>
      <w:r w:rsidRPr="00617E87">
        <w:rPr>
          <w:i/>
          <w:iCs/>
          <w:sz w:val="23"/>
          <w:szCs w:val="23"/>
        </w:rPr>
        <w:t xml:space="preserve">After attending this program, in order to receive continuing education credits, please complete the following steps </w:t>
      </w:r>
      <w:r w:rsidR="00442375">
        <w:rPr>
          <w:b/>
          <w:i/>
          <w:iCs/>
          <w:sz w:val="23"/>
          <w:szCs w:val="23"/>
        </w:rPr>
        <w:t xml:space="preserve">by </w:t>
      </w:r>
      <w:r w:rsidR="008422E9">
        <w:rPr>
          <w:b/>
          <w:i/>
          <w:iCs/>
          <w:sz w:val="23"/>
          <w:szCs w:val="23"/>
        </w:rPr>
        <w:t>April 15</w:t>
      </w:r>
      <w:r w:rsidR="00442375">
        <w:rPr>
          <w:b/>
          <w:i/>
          <w:iCs/>
          <w:sz w:val="23"/>
          <w:szCs w:val="23"/>
        </w:rPr>
        <w:t>, 202</w:t>
      </w:r>
      <w:r w:rsidR="008422E9">
        <w:rPr>
          <w:b/>
          <w:i/>
          <w:iCs/>
          <w:sz w:val="23"/>
          <w:szCs w:val="23"/>
        </w:rPr>
        <w:t>4</w:t>
      </w:r>
      <w:r w:rsidRPr="00617E87">
        <w:rPr>
          <w:i/>
          <w:iCs/>
          <w:sz w:val="23"/>
          <w:szCs w:val="23"/>
        </w:rPr>
        <w:t xml:space="preserve">: </w:t>
      </w:r>
    </w:p>
    <w:p w14:paraId="185E7EF4" w14:textId="77777777" w:rsidR="00617E87" w:rsidRPr="00617E87" w:rsidRDefault="00617E87" w:rsidP="00617E87">
      <w:pPr>
        <w:pStyle w:val="Default"/>
        <w:spacing w:after="120"/>
        <w:rPr>
          <w:sz w:val="23"/>
          <w:szCs w:val="23"/>
        </w:rPr>
      </w:pPr>
    </w:p>
    <w:p w14:paraId="7C392802" w14:textId="77777777" w:rsidR="00617E87" w:rsidRPr="00617E87" w:rsidRDefault="00617E87" w:rsidP="00617E87">
      <w:pPr>
        <w:pStyle w:val="Default"/>
        <w:numPr>
          <w:ilvl w:val="0"/>
          <w:numId w:val="5"/>
        </w:numPr>
        <w:spacing w:after="120"/>
        <w:rPr>
          <w:sz w:val="23"/>
          <w:szCs w:val="23"/>
        </w:rPr>
      </w:pPr>
      <w:r w:rsidRPr="00617E87">
        <w:rPr>
          <w:sz w:val="23"/>
          <w:szCs w:val="23"/>
        </w:rPr>
        <w:t xml:space="preserve">Go to TTUHSC.learningexpressce.com </w:t>
      </w:r>
    </w:p>
    <w:p w14:paraId="37C0DEF8" w14:textId="77777777" w:rsidR="00617E87" w:rsidRPr="00617E87" w:rsidRDefault="00617E87" w:rsidP="00617E87">
      <w:pPr>
        <w:pStyle w:val="Default"/>
        <w:numPr>
          <w:ilvl w:val="0"/>
          <w:numId w:val="6"/>
        </w:numPr>
        <w:spacing w:after="120"/>
        <w:rPr>
          <w:sz w:val="23"/>
          <w:szCs w:val="23"/>
        </w:rPr>
      </w:pPr>
      <w:r w:rsidRPr="00617E87">
        <w:rPr>
          <w:sz w:val="23"/>
          <w:szCs w:val="23"/>
        </w:rPr>
        <w:t xml:space="preserve">Create an account </w:t>
      </w:r>
    </w:p>
    <w:p w14:paraId="7D36AEE0" w14:textId="77777777" w:rsidR="00617E87" w:rsidRPr="00617E87" w:rsidRDefault="00617E87" w:rsidP="00617E87">
      <w:pPr>
        <w:pStyle w:val="Default"/>
        <w:numPr>
          <w:ilvl w:val="0"/>
          <w:numId w:val="3"/>
        </w:numPr>
        <w:spacing w:after="120"/>
        <w:ind w:left="990" w:hanging="270"/>
        <w:rPr>
          <w:sz w:val="23"/>
          <w:szCs w:val="23"/>
        </w:rPr>
      </w:pPr>
      <w:r w:rsidRPr="00617E87">
        <w:rPr>
          <w:sz w:val="23"/>
          <w:szCs w:val="23"/>
        </w:rPr>
        <w:t xml:space="preserve">Click “Create an account” at the top right of the page </w:t>
      </w:r>
    </w:p>
    <w:p w14:paraId="35DFBEF6" w14:textId="77777777" w:rsidR="00617E87" w:rsidRPr="00617E87" w:rsidRDefault="00617E87" w:rsidP="00617E87">
      <w:pPr>
        <w:pStyle w:val="Default"/>
        <w:numPr>
          <w:ilvl w:val="0"/>
          <w:numId w:val="3"/>
        </w:numPr>
        <w:spacing w:after="120"/>
        <w:ind w:left="990" w:hanging="270"/>
        <w:rPr>
          <w:sz w:val="23"/>
          <w:szCs w:val="23"/>
        </w:rPr>
      </w:pPr>
      <w:r w:rsidRPr="00617E87">
        <w:rPr>
          <w:sz w:val="23"/>
          <w:szCs w:val="23"/>
        </w:rPr>
        <w:t xml:space="preserve">Fill in the information </w:t>
      </w:r>
    </w:p>
    <w:p w14:paraId="63ADB94F" w14:textId="77777777" w:rsidR="00617E87" w:rsidRPr="00617E87" w:rsidRDefault="00617E87" w:rsidP="00617E87">
      <w:pPr>
        <w:pStyle w:val="Default"/>
        <w:numPr>
          <w:ilvl w:val="0"/>
          <w:numId w:val="3"/>
        </w:numPr>
        <w:spacing w:after="120"/>
        <w:ind w:left="990" w:hanging="270"/>
        <w:rPr>
          <w:sz w:val="23"/>
          <w:szCs w:val="23"/>
        </w:rPr>
      </w:pPr>
      <w:r w:rsidRPr="00617E87">
        <w:rPr>
          <w:sz w:val="23"/>
          <w:szCs w:val="23"/>
        </w:rPr>
        <w:t xml:space="preserve">Check “Pharmacist” </w:t>
      </w:r>
      <w:r w:rsidR="00534856">
        <w:rPr>
          <w:sz w:val="23"/>
          <w:szCs w:val="23"/>
        </w:rPr>
        <w:t xml:space="preserve">or “Pharmacy Technician” </w:t>
      </w:r>
      <w:r w:rsidRPr="00617E87">
        <w:rPr>
          <w:sz w:val="23"/>
          <w:szCs w:val="23"/>
        </w:rPr>
        <w:t xml:space="preserve">and fill in your NABP number and date of birth. Credit cannot be given without the NABP and date of birth. </w:t>
      </w:r>
    </w:p>
    <w:p w14:paraId="1AAAF2A7" w14:textId="77777777" w:rsidR="00617E87" w:rsidRPr="00617E87" w:rsidRDefault="00617E87" w:rsidP="00617E87">
      <w:pPr>
        <w:pStyle w:val="Default"/>
        <w:numPr>
          <w:ilvl w:val="0"/>
          <w:numId w:val="3"/>
        </w:numPr>
        <w:spacing w:after="120"/>
        <w:ind w:left="990" w:hanging="270"/>
        <w:rPr>
          <w:sz w:val="23"/>
          <w:szCs w:val="23"/>
        </w:rPr>
      </w:pPr>
      <w:r w:rsidRPr="00617E87">
        <w:rPr>
          <w:sz w:val="23"/>
          <w:szCs w:val="23"/>
        </w:rPr>
        <w:t xml:space="preserve">Click “Create an Account” in blue </w:t>
      </w:r>
    </w:p>
    <w:p w14:paraId="2B2BBA2D" w14:textId="77777777" w:rsidR="00617E87" w:rsidRPr="00617E87" w:rsidRDefault="00617E87" w:rsidP="00617E87">
      <w:pPr>
        <w:pStyle w:val="Default"/>
        <w:numPr>
          <w:ilvl w:val="0"/>
          <w:numId w:val="7"/>
        </w:numPr>
        <w:spacing w:after="120"/>
        <w:rPr>
          <w:sz w:val="23"/>
          <w:szCs w:val="23"/>
        </w:rPr>
      </w:pPr>
      <w:r w:rsidRPr="00617E87">
        <w:rPr>
          <w:sz w:val="23"/>
          <w:szCs w:val="23"/>
        </w:rPr>
        <w:t xml:space="preserve">Process for claiming CE </w:t>
      </w:r>
    </w:p>
    <w:p w14:paraId="47920B17" w14:textId="77777777" w:rsidR="00617E87" w:rsidRPr="00617E87" w:rsidRDefault="00617E87" w:rsidP="00617E87">
      <w:pPr>
        <w:pStyle w:val="Default"/>
        <w:numPr>
          <w:ilvl w:val="0"/>
          <w:numId w:val="3"/>
        </w:numPr>
        <w:spacing w:after="120"/>
        <w:ind w:left="990" w:hanging="270"/>
        <w:rPr>
          <w:sz w:val="23"/>
          <w:szCs w:val="23"/>
        </w:rPr>
      </w:pPr>
      <w:r w:rsidRPr="00617E87">
        <w:rPr>
          <w:sz w:val="23"/>
          <w:szCs w:val="23"/>
        </w:rPr>
        <w:t>Click “Pending/Private Programs” located at the top</w:t>
      </w:r>
      <w:r w:rsidR="008824AC">
        <w:rPr>
          <w:sz w:val="23"/>
          <w:szCs w:val="23"/>
        </w:rPr>
        <w:t>/center</w:t>
      </w:r>
      <w:r w:rsidRPr="00617E87">
        <w:rPr>
          <w:sz w:val="23"/>
          <w:szCs w:val="23"/>
        </w:rPr>
        <w:t xml:space="preserve"> of the page </w:t>
      </w:r>
    </w:p>
    <w:p w14:paraId="48C05AC8" w14:textId="77777777" w:rsidR="00617E87" w:rsidRPr="00617E87" w:rsidRDefault="00617E87" w:rsidP="00617E87">
      <w:pPr>
        <w:pStyle w:val="Default"/>
        <w:numPr>
          <w:ilvl w:val="0"/>
          <w:numId w:val="3"/>
        </w:numPr>
        <w:spacing w:after="120"/>
        <w:ind w:left="990" w:hanging="270"/>
        <w:rPr>
          <w:sz w:val="23"/>
          <w:szCs w:val="23"/>
        </w:rPr>
      </w:pPr>
      <w:r w:rsidRPr="00617E87">
        <w:rPr>
          <w:sz w:val="23"/>
          <w:szCs w:val="23"/>
        </w:rPr>
        <w:t xml:space="preserve">Type in the Registration Code in the box, “To access a private program, enter the registration code here:” </w:t>
      </w:r>
    </w:p>
    <w:p w14:paraId="166773F0" w14:textId="77777777" w:rsidR="00617E87" w:rsidRPr="00617E87" w:rsidRDefault="00617E87" w:rsidP="00617E87">
      <w:pPr>
        <w:pStyle w:val="Default"/>
        <w:numPr>
          <w:ilvl w:val="0"/>
          <w:numId w:val="3"/>
        </w:numPr>
        <w:spacing w:after="120"/>
        <w:ind w:left="990" w:hanging="270"/>
        <w:rPr>
          <w:sz w:val="23"/>
          <w:szCs w:val="23"/>
        </w:rPr>
      </w:pPr>
      <w:r w:rsidRPr="00617E87">
        <w:rPr>
          <w:sz w:val="23"/>
          <w:szCs w:val="23"/>
        </w:rPr>
        <w:t xml:space="preserve">Click the “Register” button </w:t>
      </w:r>
    </w:p>
    <w:p w14:paraId="19D78A64" w14:textId="77777777" w:rsidR="00617E87" w:rsidRPr="00617E87" w:rsidRDefault="00617E87" w:rsidP="00617E87">
      <w:pPr>
        <w:pStyle w:val="Default"/>
        <w:numPr>
          <w:ilvl w:val="0"/>
          <w:numId w:val="3"/>
        </w:numPr>
        <w:spacing w:after="120"/>
        <w:ind w:left="990" w:hanging="270"/>
        <w:rPr>
          <w:sz w:val="23"/>
          <w:szCs w:val="23"/>
        </w:rPr>
      </w:pPr>
      <w:r w:rsidRPr="00617E87">
        <w:rPr>
          <w:sz w:val="23"/>
          <w:szCs w:val="23"/>
        </w:rPr>
        <w:t xml:space="preserve">Click the green “Register Now” button </w:t>
      </w:r>
    </w:p>
    <w:p w14:paraId="7CE4EDC0" w14:textId="77777777" w:rsidR="00617E87" w:rsidRPr="00617E87" w:rsidRDefault="00617E87" w:rsidP="008824AC">
      <w:pPr>
        <w:pStyle w:val="Default"/>
        <w:numPr>
          <w:ilvl w:val="2"/>
          <w:numId w:val="3"/>
        </w:numPr>
        <w:spacing w:after="120"/>
        <w:rPr>
          <w:sz w:val="23"/>
          <w:szCs w:val="23"/>
        </w:rPr>
      </w:pPr>
      <w:r w:rsidRPr="00617E87">
        <w:rPr>
          <w:sz w:val="23"/>
          <w:szCs w:val="23"/>
        </w:rPr>
        <w:t xml:space="preserve">Verify account information </w:t>
      </w:r>
    </w:p>
    <w:p w14:paraId="7581CD44" w14:textId="77777777" w:rsidR="00617E87" w:rsidRPr="00617E87" w:rsidRDefault="00617E87" w:rsidP="00617E87">
      <w:pPr>
        <w:pStyle w:val="Default"/>
        <w:numPr>
          <w:ilvl w:val="0"/>
          <w:numId w:val="3"/>
        </w:numPr>
        <w:spacing w:after="120"/>
        <w:ind w:left="990" w:hanging="270"/>
        <w:rPr>
          <w:sz w:val="23"/>
          <w:szCs w:val="23"/>
        </w:rPr>
      </w:pPr>
      <w:r w:rsidRPr="00617E87">
        <w:rPr>
          <w:sz w:val="23"/>
          <w:szCs w:val="23"/>
        </w:rPr>
        <w:t xml:space="preserve">Click “Register” </w:t>
      </w:r>
    </w:p>
    <w:p w14:paraId="0FACA6E9" w14:textId="77777777" w:rsidR="00617E87" w:rsidRPr="00617E87" w:rsidRDefault="00617E87" w:rsidP="00617E87">
      <w:pPr>
        <w:pStyle w:val="Default"/>
        <w:numPr>
          <w:ilvl w:val="0"/>
          <w:numId w:val="3"/>
        </w:numPr>
        <w:spacing w:after="120"/>
        <w:ind w:left="990" w:hanging="270"/>
        <w:rPr>
          <w:sz w:val="23"/>
          <w:szCs w:val="23"/>
        </w:rPr>
      </w:pPr>
      <w:r w:rsidRPr="00617E87">
        <w:rPr>
          <w:sz w:val="23"/>
          <w:szCs w:val="23"/>
        </w:rPr>
        <w:t xml:space="preserve">Click “Complete Evaluation” </w:t>
      </w:r>
      <w:r w:rsidR="00534856">
        <w:rPr>
          <w:sz w:val="23"/>
          <w:szCs w:val="23"/>
        </w:rPr>
        <w:t>for either pharmacist or pharmacy technician</w:t>
      </w:r>
    </w:p>
    <w:p w14:paraId="6D8C0033" w14:textId="77777777" w:rsidR="00617E87" w:rsidRPr="00617E87" w:rsidRDefault="00617E87" w:rsidP="008824AC">
      <w:pPr>
        <w:pStyle w:val="Default"/>
        <w:numPr>
          <w:ilvl w:val="2"/>
          <w:numId w:val="3"/>
        </w:numPr>
        <w:spacing w:after="120"/>
        <w:rPr>
          <w:sz w:val="23"/>
          <w:szCs w:val="23"/>
        </w:rPr>
      </w:pPr>
      <w:r w:rsidRPr="00617E87">
        <w:rPr>
          <w:sz w:val="23"/>
          <w:szCs w:val="23"/>
        </w:rPr>
        <w:t xml:space="preserve">Answer the questions and submit </w:t>
      </w:r>
    </w:p>
    <w:p w14:paraId="2EF09047" w14:textId="77777777" w:rsidR="00617E87" w:rsidRPr="00617E87" w:rsidRDefault="00617E87" w:rsidP="00617E87">
      <w:pPr>
        <w:pStyle w:val="Default"/>
        <w:numPr>
          <w:ilvl w:val="0"/>
          <w:numId w:val="8"/>
        </w:numPr>
        <w:spacing w:after="120"/>
        <w:rPr>
          <w:sz w:val="23"/>
          <w:szCs w:val="23"/>
        </w:rPr>
      </w:pPr>
      <w:r w:rsidRPr="00617E87">
        <w:rPr>
          <w:sz w:val="23"/>
          <w:szCs w:val="23"/>
        </w:rPr>
        <w:t xml:space="preserve">CE credit will automatically be sent to CPE Monitor </w:t>
      </w:r>
    </w:p>
    <w:p w14:paraId="5DDBAF0F" w14:textId="77777777" w:rsidR="00617E87" w:rsidRPr="00617E87" w:rsidRDefault="00617E87" w:rsidP="00617E87">
      <w:pPr>
        <w:pStyle w:val="Default"/>
        <w:rPr>
          <w:sz w:val="23"/>
          <w:szCs w:val="23"/>
        </w:rPr>
      </w:pPr>
    </w:p>
    <w:p w14:paraId="4FD7C64A" w14:textId="1B08EFD2" w:rsidR="00617E87" w:rsidRDefault="00617E87" w:rsidP="00617E87">
      <w:pPr>
        <w:pStyle w:val="Default"/>
        <w:rPr>
          <w:b/>
          <w:bCs/>
          <w:sz w:val="28"/>
          <w:szCs w:val="28"/>
        </w:rPr>
      </w:pPr>
      <w:r w:rsidRPr="00617E87">
        <w:rPr>
          <w:b/>
          <w:bCs/>
          <w:sz w:val="28"/>
          <w:szCs w:val="28"/>
        </w:rPr>
        <w:t xml:space="preserve">**CE must be claimed </w:t>
      </w:r>
      <w:r w:rsidR="00442375">
        <w:rPr>
          <w:b/>
          <w:bCs/>
          <w:sz w:val="28"/>
          <w:szCs w:val="28"/>
        </w:rPr>
        <w:t xml:space="preserve">by </w:t>
      </w:r>
      <w:r w:rsidR="008422E9">
        <w:rPr>
          <w:b/>
          <w:bCs/>
          <w:sz w:val="28"/>
          <w:szCs w:val="28"/>
        </w:rPr>
        <w:t>April 15</w:t>
      </w:r>
      <w:r w:rsidR="00442375">
        <w:rPr>
          <w:b/>
          <w:bCs/>
          <w:sz w:val="28"/>
          <w:szCs w:val="28"/>
        </w:rPr>
        <w:t>, 202</w:t>
      </w:r>
      <w:r w:rsidR="008422E9">
        <w:rPr>
          <w:b/>
          <w:bCs/>
          <w:sz w:val="28"/>
          <w:szCs w:val="28"/>
        </w:rPr>
        <w:t>4</w:t>
      </w:r>
      <w:r w:rsidRPr="00617E87">
        <w:rPr>
          <w:b/>
          <w:bCs/>
          <w:sz w:val="28"/>
          <w:szCs w:val="28"/>
        </w:rPr>
        <w:t xml:space="preserve">** </w:t>
      </w:r>
    </w:p>
    <w:p w14:paraId="23DED7AE" w14:textId="77777777" w:rsidR="00617E87" w:rsidRDefault="00617E87" w:rsidP="00617E87">
      <w:pPr>
        <w:pStyle w:val="Default"/>
        <w:rPr>
          <w:b/>
          <w:bCs/>
          <w:sz w:val="28"/>
          <w:szCs w:val="28"/>
        </w:rPr>
      </w:pPr>
    </w:p>
    <w:p w14:paraId="3704FD09" w14:textId="77777777" w:rsidR="00617E87" w:rsidRPr="00617E87" w:rsidRDefault="00617E87" w:rsidP="00617E87">
      <w:pPr>
        <w:pStyle w:val="Default"/>
        <w:rPr>
          <w:sz w:val="28"/>
          <w:szCs w:val="28"/>
        </w:rPr>
      </w:pPr>
    </w:p>
    <w:p w14:paraId="556C1F68" w14:textId="15A0884E" w:rsidR="00442375" w:rsidRDefault="008422E9" w:rsidP="00442375">
      <w:pPr>
        <w:rPr>
          <w:rFonts w:ascii="Times New Roman" w:hAnsi="Times New Roman" w:cs="Times New Roman"/>
        </w:rPr>
      </w:pPr>
      <w:r w:rsidRPr="008422E9">
        <w:rPr>
          <w:rFonts w:ascii="Times New Roman" w:hAnsi="Times New Roman" w:cs="Times New Roman"/>
          <w:noProof/>
        </w:rPr>
        <mc:AlternateContent>
          <mc:Choice Requires="wps">
            <w:drawing>
              <wp:anchor distT="45720" distB="45720" distL="114300" distR="114300" simplePos="0" relativeHeight="251659264" behindDoc="0" locked="0" layoutInCell="1" allowOverlap="1" wp14:anchorId="01F56A2B" wp14:editId="2F3A3332">
                <wp:simplePos x="0" y="0"/>
                <wp:positionH relativeFrom="margin">
                  <wp:posOffset>914400</wp:posOffset>
                </wp:positionH>
                <wp:positionV relativeFrom="paragraph">
                  <wp:posOffset>444500</wp:posOffset>
                </wp:positionV>
                <wp:extent cx="4962525" cy="10001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1000125"/>
                        </a:xfrm>
                        <a:prstGeom prst="rect">
                          <a:avLst/>
                        </a:prstGeom>
                        <a:solidFill>
                          <a:srgbClr val="FFFFFF"/>
                        </a:solidFill>
                        <a:ln w="9525">
                          <a:noFill/>
                          <a:miter lim="800000"/>
                          <a:headEnd/>
                          <a:tailEnd/>
                        </a:ln>
                      </wps:spPr>
                      <wps:txbx>
                        <w:txbxContent>
                          <w:p w14:paraId="23EBB15F" w14:textId="552F8083" w:rsidR="008422E9" w:rsidRDefault="008422E9" w:rsidP="008422E9">
                            <w:pPr>
                              <w:rPr>
                                <w:rFonts w:ascii="Times New Roman" w:hAnsi="Times New Roman" w:cs="Times New Roman"/>
                              </w:rPr>
                            </w:pPr>
                            <w:r w:rsidRPr="008422E9">
                              <w:rPr>
                                <w:rFonts w:ascii="Times New Roman" w:hAnsi="Times New Roman" w:cs="Times New Roman"/>
                              </w:rPr>
                              <w:t>This is a joint-providership activity between West Texas Pharmacy Association and Texas Tech Health Sciences Center, Jerry H. Hodge School of Pharmacy. Texas Tech University Health Sciences Center Jerry H. Hodge School of Pharmacy is accredited by the Accreditation Council for Pharmacy Education as a provider of continuing pharmacy education with Commendation.”</w:t>
                            </w:r>
                          </w:p>
                          <w:p w14:paraId="4B5CEF40" w14:textId="076F557E" w:rsidR="008422E9" w:rsidRDefault="008422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F56A2B" id="_x0000_t202" coordsize="21600,21600" o:spt="202" path="m,l,21600r21600,l21600,xe">
                <v:stroke joinstyle="miter"/>
                <v:path gradientshapeok="t" o:connecttype="rect"/>
              </v:shapetype>
              <v:shape id="Text Box 2" o:spid="_x0000_s1026" type="#_x0000_t202" style="position:absolute;margin-left:1in;margin-top:35pt;width:390.75pt;height:78.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" stroked="f">
                <v:textbox>
                  <w:txbxContent>
                    <w:p w14:paraId="23EBB15F" w14:textId="552F8083" w:rsidR="008422E9" w:rsidRDefault="008422E9" w:rsidP="008422E9">
                      <w:pPr>
                        <w:rPr>
                          <w:rFonts w:ascii="Times New Roman" w:hAnsi="Times New Roman" w:cs="Times New Roman"/>
                        </w:rPr>
                      </w:pPr>
                      <w:r w:rsidRPr="008422E9">
                        <w:rPr>
                          <w:rFonts w:ascii="Times New Roman" w:hAnsi="Times New Roman" w:cs="Times New Roman"/>
                        </w:rPr>
                        <w:t>This is a joint-providership activity between West Texas Pharmacy Association and Texas Tech Health Sciences Center, Jerry H. Hodge School of Pharmacy. Texas Tech University Health Sciences Center Jerry H. Hodge School of Pharmacy is accredited by the Accreditation Council for Pharmacy Education as a provider of continuing pharmacy education with Commendation.”</w:t>
                      </w:r>
                    </w:p>
                    <w:p w14:paraId="4B5CEF40" w14:textId="076F557E" w:rsidR="008422E9" w:rsidRDefault="008422E9"/>
                  </w:txbxContent>
                </v:textbox>
                <w10:wrap type="square" anchorx="margin"/>
              </v:shape>
            </w:pict>
          </mc:Fallback>
        </mc:AlternateContent>
      </w:r>
      <w:r>
        <w:rPr>
          <w:rFonts w:ascii="Times New Roman" w:hAnsi="Times New Roman" w:cs="Times New Roman"/>
          <w:noProof/>
        </w:rPr>
        <w:drawing>
          <wp:anchor distT="0" distB="0" distL="114300" distR="114300" simplePos="0" relativeHeight="251660288" behindDoc="0" locked="0" layoutInCell="1" allowOverlap="1" wp14:anchorId="506EA6BB" wp14:editId="6DA22312">
            <wp:simplePos x="0" y="0"/>
            <wp:positionH relativeFrom="margin">
              <wp:align>left</wp:align>
            </wp:positionH>
            <wp:positionV relativeFrom="paragraph">
              <wp:posOffset>539750</wp:posOffset>
            </wp:positionV>
            <wp:extent cx="1010285" cy="933450"/>
            <wp:effectExtent l="0" t="0" r="0" b="0"/>
            <wp:wrapThrough wrapText="bothSides">
              <wp:wrapPolygon edited="0">
                <wp:start x="0" y="0"/>
                <wp:lineTo x="0" y="21159"/>
                <wp:lineTo x="21179" y="21159"/>
                <wp:lineTo x="2117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0285" cy="9334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423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31F9"/>
    <w:multiLevelType w:val="hybridMultilevel"/>
    <w:tmpl w:val="5908E258"/>
    <w:lvl w:ilvl="0" w:tplc="0B40F1A2">
      <w:numFmt w:val="bullet"/>
      <w:lvlText w:val=""/>
      <w:lvlJc w:val="left"/>
      <w:pPr>
        <w:ind w:left="720" w:hanging="720"/>
      </w:pPr>
      <w:rPr>
        <w:rFonts w:ascii="Symbol" w:eastAsiaTheme="minorHAnsi" w:hAnsi="Symbol"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E470DE8"/>
    <w:multiLevelType w:val="hybridMultilevel"/>
    <w:tmpl w:val="7A5C7F1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1902846"/>
    <w:multiLevelType w:val="hybridMultilevel"/>
    <w:tmpl w:val="906E64C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D051984"/>
    <w:multiLevelType w:val="hybridMultilevel"/>
    <w:tmpl w:val="14B6E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D450C0"/>
    <w:multiLevelType w:val="hybridMultilevel"/>
    <w:tmpl w:val="87903C06"/>
    <w:lvl w:ilvl="0" w:tplc="0B40F1A2">
      <w:numFmt w:val="bullet"/>
      <w:lvlText w:val=""/>
      <w:lvlJc w:val="left"/>
      <w:pPr>
        <w:ind w:left="1080" w:hanging="72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48263C"/>
    <w:multiLevelType w:val="hybridMultilevel"/>
    <w:tmpl w:val="E8B28E8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8A8422B"/>
    <w:multiLevelType w:val="hybridMultilevel"/>
    <w:tmpl w:val="55DAFD5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8CB64FD"/>
    <w:multiLevelType w:val="hybridMultilevel"/>
    <w:tmpl w:val="114ACB24"/>
    <w:lvl w:ilvl="0" w:tplc="0B40F1A2">
      <w:numFmt w:val="bullet"/>
      <w:lvlText w:val=""/>
      <w:lvlJc w:val="left"/>
      <w:pPr>
        <w:ind w:left="1080" w:hanging="72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7"/>
  </w:num>
  <w:num w:numId="5">
    <w:abstractNumId w:val="6"/>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E87"/>
    <w:rsid w:val="002623B0"/>
    <w:rsid w:val="00332611"/>
    <w:rsid w:val="00347637"/>
    <w:rsid w:val="003F54E9"/>
    <w:rsid w:val="00442375"/>
    <w:rsid w:val="00534856"/>
    <w:rsid w:val="00617E87"/>
    <w:rsid w:val="00774A0A"/>
    <w:rsid w:val="00814D78"/>
    <w:rsid w:val="00816B2E"/>
    <w:rsid w:val="008422E9"/>
    <w:rsid w:val="008824AC"/>
    <w:rsid w:val="00A37FD0"/>
    <w:rsid w:val="00A9027E"/>
    <w:rsid w:val="00AB19E3"/>
    <w:rsid w:val="00BB6980"/>
    <w:rsid w:val="00CA46E9"/>
    <w:rsid w:val="00CD7815"/>
    <w:rsid w:val="00DD0326"/>
    <w:rsid w:val="00DF0538"/>
    <w:rsid w:val="00E678A0"/>
    <w:rsid w:val="00EE51AB"/>
    <w:rsid w:val="00F21079"/>
    <w:rsid w:val="00F2349D"/>
    <w:rsid w:val="00F51A8A"/>
    <w:rsid w:val="00FB645C"/>
    <w:rsid w:val="00FF6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B89CB"/>
  <w15:chartTrackingRefBased/>
  <w15:docId w15:val="{52347B49-0C74-4629-B78A-41BAC74F0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7E8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Texas Tech University Health Sciences Center</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Kristin</dc:creator>
  <cp:keywords/>
  <dc:description/>
  <cp:lastModifiedBy>Mauldin, Kristin</cp:lastModifiedBy>
  <cp:revision>2</cp:revision>
  <dcterms:created xsi:type="dcterms:W3CDTF">2024-02-07T01:40:00Z</dcterms:created>
  <dcterms:modified xsi:type="dcterms:W3CDTF">2024-02-07T01:40:00Z</dcterms:modified>
</cp:coreProperties>
</file>